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r>
    </w:p>
    <w:p>
      <w:pPr>
        <w:pStyle w:val="Style15"/>
        <w:bidi w:val="0"/>
        <w:jc w:val="center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2F2C2D"/>
          <w:spacing w:val="0"/>
          <w:sz w:val="32"/>
          <w:szCs w:val="32"/>
        </w:rPr>
        <w:t xml:space="preserve">Подборка документов </w:t>
      </w:r>
    </w:p>
    <w:p>
      <w:pPr>
        <w:pStyle w:val="Style15"/>
        <w:bidi w:val="0"/>
        <w:jc w:val="center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2F2C2D"/>
          <w:spacing w:val="0"/>
          <w:sz w:val="32"/>
          <w:szCs w:val="32"/>
        </w:rPr>
        <w:t xml:space="preserve">по вопросам передачи электросетей СНТ </w:t>
      </w:r>
    </w:p>
    <w:p>
      <w:pPr>
        <w:pStyle w:val="Style15"/>
        <w:bidi w:val="0"/>
        <w:jc w:val="center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63532"/>
          <w:spacing w:val="0"/>
          <w:sz w:val="32"/>
          <w:szCs w:val="32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2F2C2D"/>
          <w:spacing w:val="0"/>
          <w:sz w:val="32"/>
          <w:szCs w:val="32"/>
        </w:rPr>
        <w:t>на баланс ПАО «Россети»</w:t>
      </w:r>
      <w:r>
        <w:br w:type="page"/>
      </w:r>
    </w:p>
    <w:p>
      <w:pPr>
        <w:pStyle w:val="Style15"/>
        <w:bidi w:val="0"/>
        <w:jc w:val="left"/>
        <w:rPr>
          <w:color w:val="2F2C2D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28"/>
          <w:szCs w:val="28"/>
        </w:rPr>
      </w:r>
    </w:p>
    <w:p>
      <w:pPr>
        <w:pStyle w:val="Style15"/>
        <w:bidi w:val="0"/>
        <w:jc w:val="left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2F2C2D"/>
          <w:spacing w:val="0"/>
          <w:sz w:val="28"/>
          <w:szCs w:val="28"/>
        </w:rPr>
        <w:t>Стратегия ПАО «Росссети» по консолидации электирических сетей</w:t>
      </w:r>
    </w:p>
    <w:p>
      <w:pPr>
        <w:pStyle w:val="Style15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</w:rPr>
        <w:t>В соответствии с Указом Президента Российской Федерации от 22.11.2012 № 1567 «Об открытом акционерном обществе «Российские сети» и Стратегией развития электросетевого комплекса Российской Федерации, утвержденной распоряжением Правительства Российской Федерации от 03.04.2013 № 511-р, в целях обеспечения высоких стандартов качества и надежности энергоснабжения потребителей, обеспечения энергетической безопасности регионов Российской Федерации за счет внедрения единых принципов оперативно-технологического управления, единых требований технической и эксплуатационной политики ДЗО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  <w:u w:val="single"/>
        </w:rPr>
        <w:t xml:space="preserve"> ПАО «Россети» осуществляют консолидацию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  <w:u w:val="single"/>
        </w:rPr>
        <w:t>электросетевых активов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</w:rPr>
        <w:t xml:space="preserve"> территориальных сетевых организаций,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  <w:u w:val="single"/>
        </w:rPr>
        <w:t>садовых некоммерческих товариществ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F2C2D"/>
          <w:spacing w:val="0"/>
          <w:sz w:val="28"/>
          <w:szCs w:val="28"/>
        </w:rPr>
        <w:t>, физических лиц, а также вовлечение в хозяйственный оборот бесхозяйного имущества, используемого в процессе передачи электрической энергии.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 xml:space="preserve"> </w:t>
      </w:r>
      <w:r>
        <w:br w:type="page"/>
      </w:r>
    </w:p>
    <w:p>
      <w:pPr>
        <w:pStyle w:val="2"/>
        <w:bidi w:val="0"/>
        <w:jc w:val="left"/>
        <w:rPr>
          <w:rFonts w:ascii="Liberation Serif" w:hAnsi="Liberation Serif"/>
          <w:b/>
          <w:b/>
          <w:bCs/>
          <w:i w:val="false"/>
          <w:caps w:val="false"/>
          <w:smallCaps w:val="false"/>
          <w:color w:val="4D4D4D"/>
          <w:spacing w:val="0"/>
          <w:sz w:val="28"/>
          <w:szCs w:val="28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4D4D4D"/>
          <w:spacing w:val="0"/>
          <w:sz w:val="28"/>
          <w:szCs w:val="28"/>
        </w:rPr>
        <w:t>Письмо Министерства энергетики РФ от 25 августа 2017 г. № АН-9414/09 “О единых рекомендациях по порядку передачи объектов электросетевого хозяйства СНТ на баланс ТСО”</w:t>
      </w:r>
    </w:p>
    <w:p>
      <w:pPr>
        <w:pStyle w:val="Style15"/>
        <w:widowControl/>
        <w:bidi w:val="0"/>
        <w:spacing w:before="0" w:after="18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 сентября 2017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/>
      </w:pPr>
      <w:bookmarkStart w:id="0" w:name="0"/>
      <w:bookmarkEnd w:id="0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Во исполнение поручений Правительства Российской Федерации от 31 августа 2016 г. № ДМ-П11-5236 (пункт 3), от 20 декабря 2016 г. № АД-П9-7781 информируем о разработке Минэнерго России совместно с Минэкономразвития России и ФАС России </w:t>
      </w:r>
      <w:r>
        <w:fldChar w:fldCharType="begin"/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instrText> HYPERLINK "https://www.garant.ru/products/ipo/prime/doc/71654002/" \l "1000"</w:instrTex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separate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808080"/>
          <w:spacing w:val="0"/>
          <w:sz w:val="28"/>
          <w:szCs w:val="28"/>
          <w:u w:val="single"/>
        </w:rPr>
        <w:t>единых рекомендаций</w: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end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по порядку передачи объектов электросетевого хозяйства, принадлежащих садоводческим, огородническим и дачным некоммерческим объединениям граждан, на баланс территориальных сетевых организаций на добровольной основе (далее - рекомендации, СНТ, ТСО), при участии органов исполнительной власти Тюменской и Московской областей, а также ПАО «Россети».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настоящее время продолжает оставаться острым вопрос обеспечения надежности снабжения потребителей, расположенных на территориях СНТ, электрической энергией, а также соблюдения требований к ее качеству. Практика показывает, что зачастую объекты электросетевого хозяйства СНТ предельно изношены, находятся в ненормативном техническом состоянии и требуют проведения реконструкции и выполнения мероприятий, направленных на обеспечение соблюдения требований правил устройства электроустановок и правил технической эксплуатации, требований к границам охранных зон объектов электросетевого хозяйства и организации системы учета электрической энергии.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соответствии с изложенным просим довести </w:t>
      </w:r>
      <w:r>
        <w:fldChar w:fldCharType="begin"/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instrText> HYPERLINK "https://www.garant.ru/products/ipo/prime/doc/71654002/" \l "1000"</w:instrTex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separate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808080"/>
          <w:spacing w:val="0"/>
          <w:sz w:val="28"/>
          <w:szCs w:val="28"/>
          <w:u w:val="single"/>
        </w:rPr>
        <w:t>рекомендации</w: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end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до СНТи ТСО вашего региона и совместно с органами местного самоуправления оказать содействие СНТ, изъявившим желание передать свои объекты электросетевого хозяйства на баланс ТСО, в том числе по оформлению (восстановлению) документов, подтверждающих право собственности или иное законное право на объекты электросетевого хозяйства и земельные участки, на которых они расположены, а также обеспечить учет в полном объеме экономически обоснованных расходов на эксплуатацию объектов электросетевого хозяйства СНТ, переданных на баланс ТСО, при установлении тарифов на оказание услуг по передаче электрической энергии.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Приложение: на 5 л. в 1 экз.</w:t>
      </w:r>
    </w:p>
    <w:tbl>
      <w:tblPr>
        <w:tblW w:w="26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3"/>
        <w:gridCol w:w="1303"/>
      </w:tblGrid>
      <w:tr>
        <w:trPr/>
        <w:tc>
          <w:tcPr>
            <w:tcW w:w="1303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Министр</w:t>
            </w:r>
          </w:p>
        </w:tc>
        <w:tc>
          <w:tcPr>
            <w:tcW w:w="1303" w:type="dxa"/>
            <w:tcBorders/>
            <w:vAlign w:val="center"/>
          </w:tcPr>
          <w:p>
            <w:pPr>
              <w:pStyle w:val="Style19"/>
              <w:bidi w:val="0"/>
              <w:jc w:val="lef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А.В. Новак</w:t>
            </w:r>
          </w:p>
        </w:tc>
      </w:tr>
    </w:tbl>
    <w:p>
      <w:pPr>
        <w:pStyle w:val="3"/>
        <w:widowControl/>
        <w:pBdr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" w:name="1000"/>
      <w:bookmarkEnd w:id="1"/>
      <w:r>
        <w:rPr>
          <w:rFonts w:ascii="Liberation Serif" w:hAnsi="Liberation Serif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Единые рекомендации по порядку передачи объектов электросетевого хозяйства, принадлежащих садоводческим, огородническим и дачным некоммерческим объединениям граждан на баланс территориальных сетевых организаций на добровольной основе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Единые рекомендации по порядку передачи объектов электросетевого хозяйства, принадлежащих садоводческим, огородническим и дачным некоммерческим объединениям граждан на баланс территориальных сетевых организаций на добровольной основе (далее - рекомендации, СНТ, ТСО) разработаны в целях содействия передаче объектов электросетевого хозяйства СНТ на баланс ТСО и повышения надежности электроснабжения потребителей, а также качества электрической энергии в соответствии с требованиями технических регламентов и иными обязательными требованиями.</w:t>
      </w:r>
    </w:p>
    <w:p>
      <w:pPr>
        <w:pStyle w:val="3"/>
        <w:widowControl/>
        <w:pBdr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" w:name="1100"/>
      <w:bookmarkEnd w:id="2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Рекомендуемая последовательность действий при передаче объектов электросетевого хозяйства СНТ на баланс ТСО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3" w:name="1001"/>
      <w:bookmarkEnd w:id="3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1. Направление СНТ в адрес ТСО, к электрическим сетям которой технологически присоединены объекты электросетевого хозяйства СНТ, предложения о приобретении электрических сетей, расположенных в границах СНТ.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Предложение направляется в произвольной форме с указанием сведений и характеристик объектов электросетевого хозяйства (протяженность воздушных и кабельных линий электропередачи по классам напряжения, количество и номинальная мощность силовых трансформаторов и др.), контактной информации, с приложением копий документов (при их наличии), указанных в </w:t>
      </w:r>
      <w:r>
        <w:fldChar w:fldCharType="begin"/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instrText> HYPERLINK "https://www.garant.ru/products/ipo/prime/doc/71654002/" \l "11000"</w:instrTex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separate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808080"/>
          <w:spacing w:val="0"/>
          <w:sz w:val="28"/>
          <w:szCs w:val="28"/>
          <w:u w:val="single"/>
        </w:rPr>
        <w:t>приложении № 1</w: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end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к рекомендациям.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4" w:name="1002"/>
      <w:bookmarkEnd w:id="4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2. Проведение совместного выездного технического осмотра электрических сетей СНТ с инвентаризацией электросетевых объектов СНТ: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пригодных для эксплуатации без необходимости проведения их реконструкции;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пригодных для эксплуатации при условии возможности их реконструкции;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непригодных для эксплуатации в связи с невозможностью проведения их реконструкции из-за расположения объектов на земельных участках общего пользования в труднодоступных и недоступных местах, на земельных участках, находящихся в собственности третьих лиц;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бесхозяйных сетей, расположенных в границах СНТ.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При техническом осмотре, как правило, оценивается состояние объектов электросетевого хозяйства в соответствии с </w:t>
      </w:r>
      <w:r>
        <w:fldChar w:fldCharType="begin"/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instrText> HYPERLINK "https://www.garant.ru/products/ipo/prime/doc/71654002/" \l "12000"</w:instrTex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separate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808080"/>
          <w:spacing w:val="0"/>
          <w:sz w:val="28"/>
          <w:szCs w:val="28"/>
          <w:u w:val="single"/>
        </w:rPr>
        <w:t>приложением № 2</w:t>
      </w:r>
      <w:r>
        <w:rPr>
          <w:smallCaps w:val="false"/>
          <w:caps w:val="false"/>
          <w:sz w:val="28"/>
          <w:spacing w:val="0"/>
          <w:i w:val="false"/>
          <w:u w:val="single"/>
          <w:b w:val="false"/>
          <w:szCs w:val="28"/>
          <w:rFonts w:ascii="Liberation Serif" w:hAnsi="Liberation Serif"/>
          <w:color w:val="808080"/>
        </w:rPr>
        <w:fldChar w:fldCharType="end"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к настоящим рекомендациям.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5" w:name="1003"/>
      <w:bookmarkEnd w:id="5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3. Формирование перечня электрических сетей СНТ, возможных к передаче на баланс ТСО, исключающего непригодные для эксплуатации сети, и поставленные на учет в качестве бесхозяйных.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6" w:name="1004"/>
      <w:bookmarkEnd w:id="6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4. Направление рекомендаций СНТ со стороны ТСО в отношении сетей, непригодных для эксплуатации на момент обследования, в зависимости от причин (указание объектов, для обслуживания которых должны быть выделены земельные участки, указание бесхозяйных объектов, для которых необходимо оформление прав).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7" w:name="1005"/>
      <w:bookmarkEnd w:id="7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5. Определение ТСО формы гражданско-правового договора, предусматривающего передачу электросетевых объектов СНТ на баланс ТСО (договор дарения, договор долгосрочной аренды, договор купли-продажи, договор купли-продажи будущего недвижимого имущества).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8" w:name="1006"/>
      <w:bookmarkEnd w:id="8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6. Принятие СНТ решения о проведении общего собрания членов (собрания уполномоченных) СНТ способом, установленным Федеральным законом от 15 апреля 1998 г. № 66-ФЗ «О садоводческих, огороднических и дачных некоммерческих объединениях граждан».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9" w:name="1007"/>
      <w:bookmarkEnd w:id="9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7. Проведение общего собрания членов (собрания уполномоченных) СНТ.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Повестка дня общего собрания членов (собрания уполномоченных) определяется индивидуально для каждого СНТ в зависимости от: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вида собственности отчуждаемого имущества (совместная собственность членов СНТ или собственность СНТ как юридического лица);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вида оснований использования земельных участков, на которых расположены отчуждаемые электросетевые объекты (собственность или постоянное бессрочное пользование);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видов отчуждаемых объектов недвижимости (электросетевые объекты и земельные участки под ними или только электросетевые объекты).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ТСО проводит консультативное сопровождение формирования повестки дня и проекта протокола общего собрания членов (собрания уполномоченных) СНТ с целью указания в протоколе всех существенных условий договора, предусматривающего передачу электросетевых объектов СНТ на баланс ТСО, а также указания действий, которые необходимо провести СНТ для заключения такого договора.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0" w:name="1008"/>
      <w:bookmarkEnd w:id="10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8. Проведение СНТ действий и работ, необходимых для заключения договора передачи электросетевых объектов СНТ на баланс ТСО, включающих (при необходимости):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совершение действий, необходимых для оформления права собственности на земельные участки под электросетевыми объектами;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по бесхозяйным электросетевым объектам - оформление прав собственности, в том числе в судебном порядке;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по электросетевым объектам, непригодным для эксплуатации - осуществление комплекса мероприятий по приведению их к состоянию, пригодному для дальнейшей эксплуатации или создание условий для возможности проведения их реконструкции (в случае непригодного для эксплуатации размещения объектов).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Предметом договором купли-продажи будущего недвижимого имущества должна являться передача ТСО электросетевых объектов, права на которые не зарегистрированы. Условиями данного договора предусматриваются: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обязательства СНТ по регистрации прав собственности на передаваемые объекты и выделению земельных участков под объектами (при отсутствии прав на земельные участки под объектами предусматривается также регистрация прав на земельные участки);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обязательства СНТ по последующей передаче на баланс ТСО зарегистрированных объектов и передаче во владение и (или) пользование ТСО образованных под этими объектами земельных участков.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1" w:name="1009"/>
      <w:bookmarkEnd w:id="11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9. Направление в адрес ТСО протоколов общего собрания членов (собрания уполномоченных) СНТ, документов и сведений, необходимых для заключения договора, предусматривающего передачу электросетевых объектов СНТ на баланс ТСО.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2" w:name="1010"/>
      <w:bookmarkEnd w:id="12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10. Подготовка ТСО пакета документов по сделке.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3" w:name="1011"/>
      <w:bookmarkEnd w:id="13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11. Заключение договора, предусматривающего передачу электросетевых объектов СНТ на баланс ТСО.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4" w:name="1012"/>
      <w:bookmarkEnd w:id="14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12. При заключении договора купли-продажи будущего недвижимого имущества - выполнение со стороны СНТ и ТСО условий, предусмотренных данным договором.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5" w:name="1013"/>
      <w:bookmarkEnd w:id="15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13. Подписание Акта приёма-передачи недвижимого имущества (электросетевых объектов и земельных участков под ними).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6" w:name="1014"/>
      <w:bookmarkEnd w:id="16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14. Оформление прав ТСО на приобретенные электросетевые объекты и установление охранных зон в соответствии с постановлением Правительства Российской Федерации от 24 февраля 2009 г. № 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7" w:name="11000"/>
      <w:bookmarkEnd w:id="17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Приложение № 1</w:t>
      </w:r>
    </w:p>
    <w:p>
      <w:pPr>
        <w:pStyle w:val="3"/>
        <w:widowControl/>
        <w:pBdr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Рекомендуемый перечень документов, направляемый СНТ в ТСО при передаче объектов электросетевого хозяйства на баланс ТСО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8" w:name="11001"/>
      <w:bookmarkEnd w:id="18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1. Учредительные документы.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19" w:name="11002"/>
      <w:bookmarkEnd w:id="19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2. Свидетельство о государственной регистрации юридического лица, выписка из ЕГРЮЛ (дата выдачи не более 2 мес.).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0" w:name="11003"/>
      <w:bookmarkEnd w:id="20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3. Подтверждение полномочий единоличного исполнительного органа.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1" w:name="11004"/>
      <w:bookmarkEnd w:id="21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4. Акт разграничения балансовой принадлежности и эксплуатационной ответственности сторон, а при его отсутствии допускается предоставление следующих документов: акт допуска электроустановки в эксплуатацию, технические условия и акт их выполнения, договор на строительство с актами ввода объектов, паспорта на оборудование, проект и сметы, договор купли-продажи объекта, договор энергоснабжения.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2" w:name="11005"/>
      <w:bookmarkEnd w:id="22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5. Протокол общего собрания с решением о передаче электросетевого имущества в ТСО на праве собственности или ином законном праве согласно требованиям устава (приложения к протоколу: перечень передаваемого имущества, перечень фактически запитанных потребителей).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3" w:name="11006"/>
      <w:bookmarkEnd w:id="23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6. Документы, подтверждающие право собственности или иное законное право на объекты электросетевого хозяйства.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4" w:name="11007"/>
      <w:bookmarkEnd w:id="24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7. Схема земельного участка СНТ с указанием расположения объектов электросетевого хозяйства, а также точек технологического присоединения к сетям ТСО.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bookmarkStart w:id="25" w:name="12000"/>
      <w:bookmarkEnd w:id="25"/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Приложение № 2</w:t>
      </w:r>
    </w:p>
    <w:p>
      <w:pPr>
        <w:pStyle w:val="3"/>
        <w:widowControl/>
        <w:pBdr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Оценка состояния объектов электросетевого хозяйства СНТ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Воздушные линии электропередачи 0,4 и 6 - 20 кВ: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деревянных, железобетонных и металлических опор (загнивание древесины, растрескивание бетона стоек и приставок, состояние арматуры, состояние оттяжек и пр.);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пролетов воздушных линий (длинные пролеты, несоблюдение габарита провода, несоблюдение расстояния от провода до строений, несоблюдение расстояния от проезжей части дорог);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трассы воздушных линий (ширина трассы, заросли древеснокустарниковой растительности);</w:t>
      </w:r>
      <w:r>
        <w:br w:type="page"/>
      </w:r>
    </w:p>
    <w:p>
      <w:pPr>
        <w:pStyle w:val="2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неизолированного провода (скрутки, соединения, распушение, обрывы проволок и т.д.);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самонесущего изолированного провода (СИП) (крепление, соединения, состояние изоляции и т.д.);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изоляторов (сколы, растрескивание изоляторов, неудовлетворительное состояние крюков и траверс);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грозозащитных устройств, заземляющих спусков и контуров заземления (отсутствие разрядников, ограничителей перенапряжения, искровых промежутков, отсутствие повторных заземлений на ВЛ 0,4 кВ);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разъединителей и секционирующих выключателей BЛ.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Кабельные линии электропередачи 0,4 и 6 - 20 кВ: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кабеля и кабельных муфт (отсутствие исполнительной и технической документации, схем прокладки, результатов высоковольтных испытаний кабельной изоляции).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Трансформаторные пункты 6 - 20/0,4 кВ: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охранной зоны ТП (заросли древесно-кустарниковой растительности);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ограждения и конструкций ТП (отсутствие ограждения, площадок обслуживания, состояние фундамента, коррозия конструкций и корпусов, отсутствие дверей и замков);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трансформатора (отсутствие исполнительной и технической документации, результатов высоковольтных испытаний кабельной изоляции и анализа масла, низкий уровень масла, протечки масла, коррозия корпуса);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оборудования РУ 6-20 кВ и РУ 0,4 кВ (вводов, проходных и опорных изоляторов, токоведущих шин, разъединителей, рубильников, автоматических выключателей, ограничителей перенапряжения, разрядников и пр.);</w:t>
      </w:r>
    </w:p>
    <w:p>
      <w:pPr>
        <w:pStyle w:val="Style15"/>
        <w:widowControl/>
        <w:bidi w:val="0"/>
        <w:spacing w:lineRule="atLeast" w:line="270" w:before="0" w:after="255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- состояние контура заземления ТП 6-20/0,4 кВ.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Style15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Style15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251950" cy="52038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28"/>
          <w:szCs w:val="28"/>
        </w:rPr>
        <w:t>Преимущества передачи электросетей в ведение ПАО «Россети»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 xml:space="preserve">После передачи сетей компании садоводы перестанут отдавать деньги за потери электроэнергии и за тех, кто незаконно крадет электричество. Каждый собственник участка будет платить только за собственный расход электроэнергии по фиксированному государственному тарифу. 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Есть и другие преимущества: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 xml:space="preserve">    •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из-за одного неплательщика не будут отключать электроэнергию во всем СНТ;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 xml:space="preserve">    •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обслуживание сетей полностью перейдет под ответственность ПАО "Россети Московский регион";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 xml:space="preserve">    • </w:t>
      </w: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если упавшее дерево оборвет провода или выйдет из строя трансформатор, ликвидировать последствия уже не придется своими силами — за все будет отвечать Московская электросетевая компания.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bCs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Если мимо какого-то из участков СНТ не проходит линия, то ПАО "Россети»  дотянет ее вне зависимости от удаленности участка. Но прибор учета и проведение линии до дома придется оплачивать абоненту.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Еще один важный плюс: с 1 июля все приборы учета переходят в ведомство ПАО "Россети", так что теперь замену после окончания поверочного интервала будут делать сотрудники сетевой компании.</w:t>
        <w:br/>
      </w:r>
      <w:r>
        <w:br w:type="page"/>
      </w:r>
    </w:p>
    <w:p>
      <w:pPr>
        <w:pStyle w:val="Style15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r>
    </w:p>
    <w:p>
      <w:pPr>
        <w:pStyle w:val="Style15"/>
        <w:bidi w:val="0"/>
        <w:jc w:val="left"/>
        <w:rPr>
          <w:rFonts w:ascii="Liberation Serif" w:hAnsi="Liberation Serif"/>
          <w:b/>
          <w:b/>
          <w:bCs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/>
          <w:bCs/>
          <w:i w:val="false"/>
          <w:caps w:val="false"/>
          <w:smallCaps w:val="false"/>
          <w:color w:val="363532"/>
          <w:spacing w:val="0"/>
          <w:sz w:val="28"/>
          <w:szCs w:val="28"/>
        </w:rPr>
        <w:t>Пример Московской области</w:t>
      </w:r>
    </w:p>
    <w:p>
      <w:pPr>
        <w:pStyle w:val="Style15"/>
        <w:bidi w:val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Сразу о двух новых инициативах, которые помогут дачникам передать поселковые электросети на баланс компании «Россети Московский регион», объявил на состоявшемся 4 июня 2020 года вебинаре заместитель генерального директора по корпоративному управлению и собственности Алексей Старостин, сообщает пресс-служба Министерства энергетики Подмосковья.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«В ближайшее время условие о переходе на индивидуальные договоры энергоснабжения при консолидации объектов 0,4 киловольта перестанет быть обязательным и приобретет опционный характер. Также энергетики компании начнут принимать на баланс энергообъекты садоводческих некоммерческих товариществ (СНТ) и коттеджных поселков (КП), которые присоединены к сетям других территориальных сетевых организаций (за исключением ОАО "РЖД")», — говорится в сообщении.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Вебинар на тему «Консолидация электросетевых объектов СНТ и КП по упрощенной схеме. Промежуточные итоги. Вопросы и ответы», организованный компанией «Россети Московский регион» совместно с Союзом дачников Подмосковья, привлек интерес 220 пользователей. Спикерам мероприятия поступило 250 вопросов.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Формат, связанный с непосредственным общением экспертов с дачниками, практикуется в компании «Россети Московский регион» давно. Но особенно востребован он стал после того, как в феврале прошлого года энергетики существенно упростили процесс консолидации электросетевых активов садоводческих некоммерческих товариществ (СНТ) и коттеджных поселков (КП). Количество процедур сократилось с шести до трех. За год с небольшим число поданных заявок возросло в три раза и составило 2,3 тысячи, а консолидируемых ежегодно СНТ и КП стало больше в пять раз и превысило 1,5 тысячи.</w:t>
      </w:r>
    </w:p>
    <w:p>
      <w:pPr>
        <w:pStyle w:val="Style15"/>
        <w:widowControl/>
        <w:bidi w:val="0"/>
        <w:spacing w:lineRule="atLeast" w:line="420"/>
        <w:ind w:left="0" w:right="0" w:hanging="0"/>
        <w:jc w:val="left"/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63532"/>
          <w:spacing w:val="0"/>
          <w:sz w:val="28"/>
          <w:szCs w:val="28"/>
        </w:rPr>
        <w:t>Исполнительный директор Союза дачников Подмосковья Федор Мезенцев в своем выступлении отметил, что передавая электросетевые активы в руки профессионалов, дачники избавляются сразу от многих проблем, связанных с нагрузкой, в том числе финансовой, по эксплуатации энергооборудования. Аварийность на качественно обслуживаемых сетях снижается. Это подтверждено статистикой по Подмосковью: к началу 2020 года число технологических нарушений на сетях СНТ, переданных на обслуживание компании «Россети Московский регион», сократилось на треть. Еще один важный момент, по словам Федора Мезенцева, что проблему с должниками и неплательщиками также будут решать профессионалы.</w:t>
      </w:r>
    </w:p>
    <w:p>
      <w:pPr>
        <w:pStyle w:val="Style15"/>
        <w:widowControl/>
        <w:bidi w:val="0"/>
        <w:spacing w:lineRule="atLeast" w:line="420" w:before="0" w:after="140"/>
        <w:ind w:left="0" w:right="0" w:hanging="0"/>
        <w:jc w:val="left"/>
        <w:rPr>
          <w:b w:val="false"/>
          <w:b/>
          <w:bCs/>
          <w:i w:val="false"/>
          <w:caps w:val="false"/>
          <w:smallCaps w:val="false"/>
          <w:color w:val="333333"/>
          <w:spacing w:val="0"/>
        </w:rPr>
      </w:pPr>
      <w:r>
        <w:rPr>
          <w:rFonts w:ascii="Liberation Serif" w:hAnsi="Liberation Serif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paragraph" w:styleId="Style21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LibreOffice/7.2.2.2$Windows_X86_64 LibreOffice_project/02b2acce88a210515b4a5bb2e46cbfb63fe97d56</Application>
  <AppVersion>15.0000</AppVersion>
  <Pages>12</Pages>
  <Words>2001</Words>
  <Characters>14435</Characters>
  <CharactersWithSpaces>16367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2021-11-20T20:34:16Z</dcterms:created>
  <dc:creator/>
  <dc:description/>
  <dc:language>ru-RU</dc:language>
  <cp:lastModifiedBy/>
  <dcterms:modified xsi:type="dcterms:W3CDTF">2021-11-20T21:09:17Z</dcterms:modified>
  <cp:revision>2</cp:revision>
  <dc:subject/>
  <dc:title/>
</cp:coreProperties>
</file>